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keepNext w:val="1"/>
        <w:widowControl w:val="1"/>
        <w:pBdr>
          <w:top w:space="0" w:sz="0" w:val="nil"/>
          <w:left w:space="0" w:sz="0" w:val="nil"/>
          <w:bottom w:space="0" w:sz="0" w:val="nil"/>
          <w:right w:space="0" w:sz="0" w:val="nil"/>
          <w:between w:space="0" w:sz="0" w:val="nil"/>
        </w:pBdr>
        <w:tabs>
          <w:tab w:val="left" w:pos="142"/>
        </w:tabs>
        <w:ind w:left="360" w:firstLine="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05">
      <w:pPr>
        <w:widowControl w:val="1"/>
        <w:numPr>
          <w:ilvl w:val="1"/>
          <w:numId w:val="1"/>
        </w:numPr>
        <w:pBdr>
          <w:top w:space="0" w:sz="0" w:val="nil"/>
          <w:left w:space="0" w:sz="0" w:val="nil"/>
          <w:bottom w:space="0" w:sz="0" w:val="nil"/>
          <w:right w:space="0" w:sz="0" w:val="nil"/>
          <w:between w:space="0" w:sz="0" w:val="nil"/>
        </w:pBdr>
        <w:tabs>
          <w:tab w:val="left" w:pos="3054"/>
        </w:tabs>
        <w:ind w:left="792" w:hanging="432"/>
        <w:jc w:val="both"/>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6">
      <w:pPr>
        <w:widowControl w:val="1"/>
        <w:pBdr>
          <w:top w:space="0" w:sz="0" w:val="nil"/>
          <w:left w:space="0" w:sz="0" w:val="nil"/>
          <w:bottom w:space="0" w:sz="0" w:val="nil"/>
          <w:right w:space="0" w:sz="0" w:val="nil"/>
          <w:between w:space="0" w:sz="0" w:val="nil"/>
        </w:pBdr>
        <w:tabs>
          <w:tab w:val="left" w:pos="3054"/>
        </w:tabs>
        <w:ind w:left="79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keepNext w:val="1"/>
        <w:widowControl w:val="1"/>
        <w:numPr>
          <w:ilvl w:val="1"/>
          <w:numId w:val="1"/>
        </w:numPr>
        <w:pBdr>
          <w:top w:space="0" w:sz="0" w:val="nil"/>
          <w:left w:space="0" w:sz="0" w:val="nil"/>
          <w:bottom w:space="0" w:sz="0" w:val="nil"/>
          <w:right w:space="0" w:sz="0" w:val="nil"/>
          <w:between w:space="0" w:sz="0" w:val="nil"/>
        </w:pBdr>
        <w:tabs>
          <w:tab w:val="left" w:pos="3054"/>
        </w:tabs>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8">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A">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pos="4536"/>
        </w:tabs>
        <w:spacing w:after="220" w:lineRule="auto"/>
        <w:ind w:left="93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C">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D">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E">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tabs>
          <w:tab w:val="left" w:pos="4536"/>
        </w:tabs>
        <w:spacing w:after="220" w:lineRule="auto"/>
        <w:ind w:left="90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10">
      <w:pPr>
        <w:keepNext w:val="1"/>
        <w:widowControl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11">
      <w:pPr>
        <w:keepNext w:val="1"/>
        <w:widowControl w:val="1"/>
        <w:pBdr>
          <w:top w:space="0" w:sz="0" w:val="nil"/>
          <w:left w:space="0" w:sz="0" w:val="nil"/>
          <w:bottom w:space="0" w:sz="0" w:val="nil"/>
          <w:right w:space="0" w:sz="0" w:val="nil"/>
          <w:between w:space="0" w:sz="0" w:val="nil"/>
        </w:pBdr>
        <w:tabs>
          <w:tab w:val="left" w:pos="142"/>
        </w:tabs>
        <w:ind w:left="360" w:firstLine="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12">
      <w:pPr>
        <w:widowControl w:val="1"/>
        <w:numPr>
          <w:ilvl w:val="1"/>
          <w:numId w:val="1"/>
        </w:numPr>
        <w:pBdr>
          <w:top w:space="0" w:sz="0" w:val="nil"/>
          <w:left w:space="0" w:sz="0" w:val="nil"/>
          <w:bottom w:space="0" w:sz="0" w:val="nil"/>
          <w:right w:space="0" w:sz="0" w:val="nil"/>
          <w:between w:space="0" w:sz="0" w:val="nil"/>
        </w:pBdr>
        <w:tabs>
          <w:tab w:val="left" w:pos="3054"/>
        </w:tabs>
        <w:spacing w:after="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Subject to Paragraph 1.1.1 above the Buyer awarding a Call-Off Contract under this Contract without holding a further competition shall:</w:t>
      </w:r>
    </w:p>
    <w:p w:rsidR="00000000" w:rsidDel="00000000" w:rsidP="00000000" w:rsidRDefault="00000000" w:rsidRPr="00000000" w14:paraId="00000013">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4">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5">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6">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7">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8">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applicable, the Buyer may use the following procedure to shortlist Suppliers before entering into a Further Competition Procedure: </w:t>
      </w:r>
    </w:p>
    <w:p w:rsidR="00000000" w:rsidDel="00000000" w:rsidP="00000000" w:rsidRDefault="00000000" w:rsidRPr="00000000" w14:paraId="00000019">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Filters – The Buyer will produce a Supplier shortlist based on the Service Filters. </w:t>
      </w:r>
    </w:p>
    <w:p w:rsidR="00000000" w:rsidDel="00000000" w:rsidP="00000000" w:rsidRDefault="00000000" w:rsidRPr="00000000" w14:paraId="0000001A">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Expression Of Interest (EOI) – The Buyer may use an EOI process to produce a Supplier shortlist. The EOI may contain the following details but is not limited to: scope, scale, timescales, incumbent supplier, grades, payment terms, capacity and/or budget. </w:t>
      </w:r>
    </w:p>
    <w:p w:rsidR="00000000" w:rsidDel="00000000" w:rsidP="00000000" w:rsidRDefault="00000000" w:rsidRPr="00000000" w14:paraId="0000001B">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Filters and Expression of Interest – The Buyer may use both of the procedures detailed in paragraph 3.1.2 and 3.1.3. </w:t>
      </w:r>
    </w:p>
    <w:p w:rsidR="00000000" w:rsidDel="00000000" w:rsidP="00000000" w:rsidRDefault="00000000" w:rsidRPr="00000000" w14:paraId="0000001C">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Conference call – The Buyer may use this after the EOI. The Buyer will provide further information on its requirement and Suppliers may have the opportunity to raise queries. </w:t>
      </w:r>
    </w:p>
    <w:p w:rsidR="00000000" w:rsidDel="00000000" w:rsidP="00000000" w:rsidRDefault="00000000" w:rsidRPr="00000000" w14:paraId="0000001D">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can deselect themselves through the process after the Service Filters and/or EOI and/or conference call. </w:t>
      </w:r>
    </w:p>
    <w:p w:rsidR="00000000" w:rsidDel="00000000" w:rsidP="00000000" w:rsidRDefault="00000000" w:rsidRPr="00000000" w14:paraId="0000001E">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add or change the Services Filters     and the EOI template throughout the lifetime of the Framework Agreement. </w:t>
      </w:r>
    </w:p>
    <w:p w:rsidR="00000000" w:rsidDel="00000000" w:rsidP="00000000" w:rsidRDefault="00000000" w:rsidRPr="00000000" w14:paraId="0000001F">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remove services from their Service Filters during the lifetime of the Framework Agreement </w:t>
      </w:r>
    </w:p>
    <w:p w:rsidR="00000000" w:rsidDel="00000000" w:rsidP="00000000" w:rsidRDefault="00000000" w:rsidRPr="00000000" w14:paraId="00000020">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21">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22">
      <w:pPr>
        <w:widowControl w:val="1"/>
        <w:numPr>
          <w:ilvl w:val="2"/>
          <w:numId w:val="1"/>
        </w:numPr>
        <w:pBdr>
          <w:top w:space="0" w:sz="0" w:val="nil"/>
          <w:left w:space="0" w:sz="0" w:val="nil"/>
          <w:bottom w:space="0" w:sz="0" w:val="nil"/>
          <w:right w:space="0" w:sz="0" w:val="nil"/>
          <w:between w:space="0" w:sz="0" w:val="nil"/>
        </w:pBdr>
        <w:spacing w:before="120" w:lineRule="auto"/>
        <w:ind w:left="1276" w:hanging="709"/>
        <w:jc w:val="both"/>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23">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bookmarkStart w:colFirst="0" w:colLast="0" w:name="_heading=h.tyjcwt" w:id="4"/>
      <w:bookmarkEnd w:id="4"/>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24">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color w:val="000000"/>
          <w:sz w:val="24"/>
          <w:szCs w:val="24"/>
          <w:rtl w:val="0"/>
        </w:rPr>
        <w:t xml:space="preserve">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25">
      <w:pPr>
        <w:keepNext w:val="1"/>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26">
      <w:pPr>
        <w:widowControl w:val="1"/>
        <w:numPr>
          <w:ilvl w:val="4"/>
          <w:numId w:val="5"/>
        </w:numPr>
        <w:pBdr>
          <w:top w:space="0" w:sz="0" w:val="nil"/>
          <w:left w:space="0" w:sz="0" w:val="nil"/>
          <w:bottom w:space="0" w:sz="0" w:val="nil"/>
          <w:right w:space="0" w:sz="0" w:val="nil"/>
          <w:between w:space="0" w:sz="0" w:val="nil"/>
        </w:pBdr>
        <w:tabs>
          <w:tab w:val="left" w:pos="6238"/>
        </w:tabs>
        <w:spacing w:after="120" w:before="120" w:lineRule="auto"/>
        <w:ind w:left="3119"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7">
      <w:pPr>
        <w:widowControl w:val="1"/>
        <w:numPr>
          <w:ilvl w:val="4"/>
          <w:numId w:val="5"/>
        </w:numPr>
        <w:pBdr>
          <w:top w:space="0" w:sz="0" w:val="nil"/>
          <w:left w:space="0" w:sz="0" w:val="nil"/>
          <w:bottom w:space="0" w:sz="0" w:val="nil"/>
          <w:right w:space="0" w:sz="0" w:val="nil"/>
          <w:between w:space="0" w:sz="0" w:val="nil"/>
        </w:pBdr>
        <w:tabs>
          <w:tab w:val="left" w:pos="6238"/>
        </w:tabs>
        <w:spacing w:after="120" w:before="120" w:lineRule="auto"/>
        <w:ind w:left="3119"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8">
      <w:pPr>
        <w:widowControl w:val="1"/>
        <w:numPr>
          <w:ilvl w:val="4"/>
          <w:numId w:val="5"/>
        </w:numPr>
        <w:pBdr>
          <w:top w:space="0" w:sz="0" w:val="nil"/>
          <w:left w:space="0" w:sz="0" w:val="nil"/>
          <w:bottom w:space="0" w:sz="0" w:val="nil"/>
          <w:right w:space="0" w:sz="0" w:val="nil"/>
          <w:between w:space="0" w:sz="0" w:val="nil"/>
        </w:pBdr>
        <w:tabs>
          <w:tab w:val="left" w:pos="6238"/>
        </w:tabs>
        <w:spacing w:after="120" w:before="120" w:lineRule="auto"/>
        <w:ind w:left="3119"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29">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A">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B">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10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C">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10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D">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10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E">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10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F">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30">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31">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p>
    <w:p w:rsidR="00000000" w:rsidDel="00000000" w:rsidP="00000000" w:rsidRDefault="00000000" w:rsidRPr="00000000" w14:paraId="00000032">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33">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3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35">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3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8">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9">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A">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B">
      <w:pPr>
        <w:widowControl w:val="1"/>
        <w:numPr>
          <w:ilvl w:val="3"/>
          <w:numId w:val="8"/>
        </w:numPr>
        <w:pBdr>
          <w:top w:space="0" w:sz="0" w:val="nil"/>
          <w:left w:space="0" w:sz="0" w:val="nil"/>
          <w:bottom w:space="0" w:sz="0" w:val="nil"/>
          <w:right w:space="0" w:sz="0" w:val="nil"/>
          <w:between w:space="0" w:sz="0" w:val="nil"/>
        </w:pBdr>
        <w:tabs>
          <w:tab w:val="left"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C">
      <w:pPr>
        <w:widowControl w:val="1"/>
        <w:numPr>
          <w:ilvl w:val="3"/>
          <w:numId w:val="8"/>
        </w:numPr>
        <w:pBdr>
          <w:top w:space="0" w:sz="0" w:val="nil"/>
          <w:left w:space="0" w:sz="0" w:val="nil"/>
          <w:bottom w:space="0" w:sz="0" w:val="nil"/>
          <w:right w:space="0" w:sz="0" w:val="nil"/>
          <w:between w:space="0" w:sz="0" w:val="nil"/>
        </w:pBdr>
        <w:tabs>
          <w:tab w:val="left" w:pos="3641"/>
        </w:tabs>
        <w:spacing w:after="120" w:before="120" w:lineRule="auto"/>
        <w:ind w:left="2592" w:hanging="93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D">
      <w:pPr>
        <w:widowControl w:val="1"/>
        <w:numPr>
          <w:ilvl w:val="4"/>
          <w:numId w:val="7"/>
        </w:numPr>
        <w:pBdr>
          <w:top w:space="0" w:sz="0" w:val="nil"/>
          <w:left w:space="0" w:sz="0" w:val="nil"/>
          <w:bottom w:space="0" w:sz="0" w:val="nil"/>
          <w:right w:space="0" w:sz="0" w:val="nil"/>
          <w:between w:space="0" w:sz="0" w:val="nil"/>
        </w:pBdr>
        <w:tabs>
          <w:tab w:val="left" w:pos="6238"/>
        </w:tabs>
        <w:spacing w:after="120" w:before="120" w:lineRule="auto"/>
        <w:ind w:left="3119"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E">
      <w:pPr>
        <w:widowControl w:val="1"/>
        <w:numPr>
          <w:ilvl w:val="4"/>
          <w:numId w:val="7"/>
        </w:numPr>
        <w:pBdr>
          <w:top w:space="0" w:sz="0" w:val="nil"/>
          <w:left w:space="0" w:sz="0" w:val="nil"/>
          <w:bottom w:space="0" w:sz="0" w:val="nil"/>
          <w:right w:space="0" w:sz="0" w:val="nil"/>
          <w:between w:space="0" w:sz="0" w:val="nil"/>
        </w:pBdr>
        <w:tabs>
          <w:tab w:val="left" w:pos="6238"/>
        </w:tabs>
        <w:spacing w:after="120" w:before="120" w:lineRule="auto"/>
        <w:ind w:left="3119"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F">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p>
    <w:p w:rsidR="00000000" w:rsidDel="00000000" w:rsidP="00000000" w:rsidRDefault="00000000" w:rsidRPr="00000000" w14:paraId="00000040">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41">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42">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43">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44">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45">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p>
    <w:p w:rsidR="00000000" w:rsidDel="00000000" w:rsidP="00000000" w:rsidRDefault="00000000" w:rsidRPr="00000000" w14:paraId="00000046">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bookmarkStart w:colFirst="0" w:colLast="0" w:name="_heading=h.3dy6vkm" w:id="5"/>
      <w:bookmarkEnd w:id="5"/>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47">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8">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bookmarkStart w:colFirst="0" w:colLast="0" w:name="_heading=h.1t3h5sf" w:id="6"/>
      <w:bookmarkEnd w:id="6"/>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9">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A">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bookmarkStart w:colFirst="0" w:colLast="0" w:name="_heading=h.gjdgxs" w:id="7"/>
      <w:bookmarkEnd w:id="7"/>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4B">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4C">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4D">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4E">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4F">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0">
      <w:pPr>
        <w:widowControl w:val="1"/>
        <w:numPr>
          <w:ilvl w:val="2"/>
          <w:numId w:val="1"/>
        </w:numPr>
        <w:pBdr>
          <w:top w:space="0" w:sz="0" w:val="nil"/>
          <w:left w:space="0" w:sz="0" w:val="nil"/>
          <w:bottom w:space="0" w:sz="0" w:val="nil"/>
          <w:right w:space="0" w:sz="0" w:val="nil"/>
          <w:between w:space="0" w:sz="0" w:val="nil"/>
        </w:pBdr>
        <w:spacing w:after="120" w:before="12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2">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3">
      <w:pPr>
        <w:widowControl w:val="1"/>
        <w:numPr>
          <w:ilvl w:val="1"/>
          <w:numId w:val="1"/>
        </w:numPr>
        <w:pBdr>
          <w:top w:space="0" w:sz="0" w:val="nil"/>
          <w:left w:space="0" w:sz="0" w:val="nil"/>
          <w:bottom w:space="0" w:sz="0" w:val="nil"/>
          <w:right w:space="0" w:sz="0" w:val="nil"/>
          <w:between w:space="0" w:sz="0" w:val="nil"/>
        </w:pBdr>
        <w:spacing w:after="120" w:before="120" w:lineRule="auto"/>
        <w:ind w:left="792" w:hanging="432"/>
        <w:jc w:val="both"/>
        <w:rPr>
          <w:rFonts w:ascii="Arial" w:cs="Arial" w:eastAsia="Arial" w:hAnsi="Arial"/>
          <w:color w:val="000000"/>
          <w:sz w:val="24"/>
          <w:szCs w:val="24"/>
        </w:rPr>
      </w:pPr>
      <w:bookmarkStart w:colFirst="0" w:colLast="0" w:name="_heading=h.3rdcrjn" w:id="8"/>
      <w:bookmarkEnd w:id="8"/>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54">
      <w:pPr>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57">
      <w:pPr>
        <w:widowControl w:val="1"/>
        <w:numPr>
          <w:ilvl w:val="0"/>
          <w:numId w:val="6"/>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58">
      <w:pPr>
        <w:widowControl w:val="1"/>
        <w:numPr>
          <w:ilvl w:val="0"/>
          <w:numId w:val="6"/>
        </w:numPr>
        <w:pBdr>
          <w:top w:space="0" w:sz="0" w:val="nil"/>
          <w:left w:space="0" w:sz="0" w:val="nil"/>
          <w:bottom w:space="0" w:sz="0" w:val="nil"/>
          <w:right w:space="0" w:sz="0" w:val="nil"/>
          <w:between w:space="0" w:sz="0" w:val="nil"/>
        </w:pBdr>
        <w:tabs>
          <w:tab w:val="left"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59">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A">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165.0" w:type="dxa"/>
        <w:jc w:val="left"/>
        <w:tblInd w:w="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95"/>
        <w:gridCol w:w="5670"/>
        <w:tblGridChange w:id="0">
          <w:tblGrid>
            <w:gridCol w:w="3495"/>
            <w:gridCol w:w="5670"/>
          </w:tblGrid>
        </w:tblGridChange>
      </w:tblGrid>
      <w:tr>
        <w:tc>
          <w:tcPr>
            <w:shd w:fill="e7e6e6" w:val="clear"/>
          </w:tcPr>
          <w:p w:rsidR="00000000" w:rsidDel="00000000" w:rsidP="00000000" w:rsidRDefault="00000000" w:rsidRPr="00000000" w14:paraId="0000005C">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5D">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5E">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Guidance:</w:t>
            </w:r>
            <w:r w:rsidDel="00000000" w:rsidR="00000000" w:rsidRPr="00000000">
              <w:rPr>
                <w:rFonts w:ascii="Arial" w:cs="Arial" w:eastAsia="Arial" w:hAnsi="Arial"/>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c>
          <w:tcPr>
            <w:gridSpan w:val="2"/>
          </w:tcPr>
          <w:p w:rsidR="00000000" w:rsidDel="00000000" w:rsidP="00000000" w:rsidRDefault="00000000" w:rsidRPr="00000000" w14:paraId="0000005F">
            <w:pPr>
              <w:keepNext w:val="1"/>
              <w:widowControl w:val="1"/>
              <w:pBdr>
                <w:top w:space="0" w:sz="0" w:val="nil"/>
                <w:left w:space="0" w:sz="0" w:val="nil"/>
                <w:bottom w:space="0" w:sz="0" w:val="nil"/>
                <w:right w:space="0" w:sz="0" w:val="nil"/>
                <w:between w:space="0" w:sz="0" w:val="nil"/>
              </w:pBdr>
              <w:spacing w:after="120" w:before="240" w:lineRule="auto"/>
              <w:ind w:left="142" w:firstLine="0"/>
              <w:jc w:val="righ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spacing w:after="280" w:before="120" w:line="259" w:lineRule="auto"/>
              <w:ind w:left="176" w:hanging="720"/>
              <w:rPr>
                <w:rFonts w:ascii="Arial" w:cs="Arial" w:eastAsia="Arial" w:hAnsi="Arial"/>
                <w:color w:val="000000"/>
                <w:highlight w:val="white"/>
              </w:rPr>
            </w:pP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color w:val="000000"/>
                <w:highlight w:val="white"/>
                <w:rtl w:val="0"/>
              </w:rPr>
              <w:t xml:space="preserve">Value for money: e.g. the Buyer believes that the Supplier provides</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highlight w:val="white"/>
                <w:rtl w:val="0"/>
              </w:rPr>
              <w:t xml:space="preserve">demonstrable value for money, which may include but is not limited to:</w:t>
            </w:r>
          </w:p>
          <w:p w:rsidR="00000000" w:rsidDel="00000000" w:rsidP="00000000" w:rsidRDefault="00000000" w:rsidRPr="00000000" w14:paraId="00000061">
            <w:pPr>
              <w:widowControl w:val="1"/>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 </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color w:val="000000"/>
                <w:highlight w:val="white"/>
                <w:rtl w:val="0"/>
              </w:rPr>
              <w:t xml:space="preserve">Cost effectiveness;</w:t>
            </w:r>
          </w:p>
          <w:p w:rsidR="00000000" w:rsidDel="00000000" w:rsidP="00000000" w:rsidRDefault="00000000" w:rsidRPr="00000000" w14:paraId="00000062">
            <w:pPr>
              <w:widowControl w:val="1"/>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highlight w:val="white"/>
              </w:rPr>
            </w:pP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color w:val="000000"/>
                <w:highlight w:val="white"/>
                <w:rtl w:val="0"/>
              </w:rPr>
              <w:t xml:space="preserve">Price; and</w:t>
            </w:r>
            <w:r w:rsidDel="00000000" w:rsidR="00000000" w:rsidRPr="00000000">
              <w:rPr>
                <w:rtl w:val="0"/>
              </w:rPr>
            </w:r>
          </w:p>
          <w:p w:rsidR="00000000" w:rsidDel="00000000" w:rsidP="00000000" w:rsidRDefault="00000000" w:rsidRPr="00000000" w14:paraId="00000063">
            <w:pPr>
              <w:widowControl w:val="1"/>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highlight w:val="white"/>
              </w:rPr>
            </w:pP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color w:val="000000"/>
                <w:highlight w:val="white"/>
                <w:rtl w:val="0"/>
              </w:rPr>
              <w:t xml:space="preserve">Quality.</w:t>
            </w: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066">
            <w:pPr>
              <w:rPr>
                <w:rFonts w:ascii="Arial" w:cs="Arial" w:eastAsia="Arial" w:hAnsi="Arial"/>
                <w:i w:val="1"/>
                <w:color w:val="222222"/>
                <w:highlight w:val="white"/>
              </w:rPr>
            </w:pPr>
            <w:r w:rsidDel="00000000" w:rsidR="00000000" w:rsidRPr="00000000">
              <w:rPr>
                <w:rFonts w:ascii="Arial" w:cs="Arial" w:eastAsia="Arial" w:hAnsi="Arial"/>
                <w:i w:val="1"/>
                <w:color w:val="222222"/>
                <w:highlight w:val="white"/>
                <w:rtl w:val="0"/>
              </w:rPr>
              <w:t xml:space="preserve">Direct award - In keeping with PPN 06/20, the Buyer should agree with the Supplier what they can and will do to help work towards the social value priorities set out in the Framework Schedule 1(Specification).  Rather than setting targets for the Supplier, Buyers should discuss with them what would be an appropriate and proportionate commitment, and this commitment will form part of the Call-off Contract.  Buyers would then evaluate the supplier’s performance against this commitment as part of ongoing contract management.</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highlight w:val="white"/>
              </w:rPr>
            </w:pPr>
            <w:r w:rsidDel="00000000" w:rsidR="00000000" w:rsidRPr="00000000">
              <w:rPr>
                <w:rtl w:val="0"/>
              </w:rPr>
            </w:r>
          </w:p>
        </w:tc>
      </w:tr>
    </w:tbl>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6A">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c>
          <w:tcPr>
            <w:shd w:fill="e7e6e6" w:val="clea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Percentage Weightings (or rank order of importance where applicable) - to be set by the Customer conducting the Further Competition Procedure</w:t>
            </w:r>
          </w:p>
        </w:tc>
        <w:tc>
          <w:tcPr>
            <w:shd w:fill="e7e6e6" w:val="clea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Allowable Variance </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b w:val="1"/>
                <w:color w:val="000000"/>
                <w:rtl w:val="0"/>
              </w:rPr>
              <w:t xml:space="preserve">(This may be modified by the Customer within the range below)</w:t>
            </w:r>
            <w:r w:rsidDel="00000000" w:rsidR="00000000" w:rsidRPr="00000000">
              <w:rPr>
                <w:color w:val="000000"/>
                <w:rtl w:val="0"/>
              </w:rPr>
              <w:t xml:space="preserve"> </w:t>
            </w:r>
            <w:r w:rsidDel="00000000" w:rsidR="00000000" w:rsidRPr="00000000">
              <w:rPr>
                <w:rtl w:val="0"/>
              </w:rPr>
            </w:r>
          </w:p>
        </w:tc>
      </w:tr>
      <w:tr>
        <w:tc>
          <w:tcPr/>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pos="851"/>
              </w:tabs>
              <w:spacing w:after="240" w:lineRule="auto"/>
              <w:rPr>
                <w:rFonts w:ascii="Arial" w:cs="Arial" w:eastAsia="Arial" w:hAnsi="Arial"/>
                <w:color w:val="000000"/>
              </w:rPr>
            </w:pPr>
            <w:r w:rsidDel="00000000" w:rsidR="00000000" w:rsidRPr="00000000">
              <w:rPr>
                <w:rFonts w:ascii="Arial" w:cs="Arial" w:eastAsia="Arial" w:hAnsi="Arial"/>
                <w:color w:val="000000"/>
                <w:rtl w:val="0"/>
              </w:rPr>
              <w:t xml:space="preserve">Quality to include Social Value *</w:t>
            </w:r>
          </w:p>
        </w:tc>
        <w:tc>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0%</w:t>
            </w:r>
          </w:p>
        </w:tc>
        <w:tc>
          <w:tcPr/>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+ 40% (50% to 90%) </w:t>
            </w:r>
          </w:p>
        </w:tc>
      </w:tr>
      <w:tr>
        <w:tc>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Price </w:t>
            </w:r>
          </w:p>
        </w:tc>
        <w:tc>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0%</w:t>
            </w:r>
          </w:p>
        </w:tc>
        <w:tc>
          <w:tcPr/>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- 40% (10% to 50%) </w:t>
            </w:r>
          </w:p>
        </w:tc>
      </w:tr>
    </w:tbl>
    <w:p w:rsidR="00000000" w:rsidDel="00000000" w:rsidP="00000000" w:rsidRDefault="00000000" w:rsidRPr="00000000" w14:paraId="00000076">
      <w:pPr>
        <w:rPr>
          <w:rFonts w:ascii="Arial" w:cs="Arial" w:eastAsia="Arial" w:hAnsi="Arial"/>
        </w:rPr>
      </w:pPr>
      <w:r w:rsidDel="00000000" w:rsidR="00000000" w:rsidRPr="00000000">
        <w:rPr>
          <w:rtl w:val="0"/>
        </w:rPr>
      </w:r>
    </w:p>
    <w:p w:rsidR="00000000" w:rsidDel="00000000" w:rsidP="00000000" w:rsidRDefault="00000000" w:rsidRPr="00000000" w14:paraId="00000077">
      <w:pPr>
        <w:rPr>
          <w:rFonts w:ascii="Arial" w:cs="Arial" w:eastAsia="Arial" w:hAnsi="Arial"/>
          <w:color w:val="ffffff"/>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222222"/>
          <w:highlight w:val="white"/>
          <w:rtl w:val="0"/>
        </w:rPr>
        <w:t xml:space="preserve"> For organisations in scope of PPN 06/20, they may give Social Value a minimum of 10% of the total scoring</w:t>
      </w:r>
      <w:r w:rsidDel="00000000" w:rsidR="00000000" w:rsidRPr="00000000">
        <w:rPr>
          <w:rFonts w:ascii="Arial" w:cs="Arial" w:eastAsia="Arial" w:hAnsi="Arial"/>
          <w:i w:val="1"/>
          <w:color w:val="222222"/>
          <w:highlight w:val="white"/>
          <w:rtl w:val="0"/>
        </w:rPr>
        <w:t xml:space="preserve">.</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7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7F">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0">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tab/>
      <w:t xml:space="preserve"> </w:t>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3">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v3.2</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7">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5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9"/>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9"/>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9"/>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ListParagraph">
    <w:name w:val="List Paragraph"/>
    <w:basedOn w:val="Normal"/>
    <w:uiPriority w:val="34"/>
    <w:qFormat w:val="1"/>
    <w:rsid w:val="00186537"/>
    <w:pPr>
      <w:ind w:left="720"/>
      <w:contextualSpacing w:val="1"/>
    </w:p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NV1mAe67iyM9eD579IWPxwJWOA==">AMUW2mXBeLzPlm+df63XkVDiYxR9bCetS/d2PKA5oORLjKc9Dn0s817/UnuodyoWsG+eLsDHyI9MOGp/kh4ZQ3RkST88yzSJzndHoVJOZuVvsp+5i3oaSVu9GE4XWsFEoQ09wSxx2IZRZITqFNC+g4G/K0GX7YBek7ffYtBel6ymQWJ3hKi9BUvfoWZks0aM8UYnt4ow4L349STDWLWx2MXgFrSY8bPzbhgC14tiNoO6NoAXul6wZG0=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2020-11-26T15:39:00Z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